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59F2" w14:textId="77777777" w:rsidR="00824C80" w:rsidRDefault="00824C80" w:rsidP="00AA0AD3">
      <w:pPr>
        <w:pStyle w:val="Subtitle"/>
        <w:rPr>
          <w:rStyle w:val="Emphasis"/>
          <w:rFonts w:eastAsiaTheme="majorEastAsia"/>
          <w:i w:val="0"/>
          <w:iCs w:val="0"/>
          <w:color w:val="022370"/>
          <w:spacing w:val="-10"/>
          <w:kern w:val="28"/>
          <w:sz w:val="56"/>
          <w:szCs w:val="56"/>
        </w:rPr>
      </w:pPr>
      <w:r w:rsidRPr="00824C80">
        <w:rPr>
          <w:rStyle w:val="Emphasis"/>
          <w:rFonts w:eastAsiaTheme="majorEastAsia"/>
          <w:i w:val="0"/>
          <w:iCs w:val="0"/>
          <w:color w:val="022370"/>
          <w:spacing w:val="-10"/>
          <w:kern w:val="28"/>
          <w:sz w:val="56"/>
          <w:szCs w:val="56"/>
        </w:rPr>
        <w:t>Diagnostic test performance</w:t>
      </w:r>
    </w:p>
    <w:p w14:paraId="7EF603A2" w14:textId="71AA5178" w:rsidR="00772E6A" w:rsidRPr="00772E6A" w:rsidRDefault="00824C80" w:rsidP="00AA0AD3">
      <w:pPr>
        <w:pStyle w:val="Subtitle"/>
      </w:pPr>
      <w:r>
        <w:t>Reference list – 5 March 2025</w:t>
      </w:r>
    </w:p>
    <w:p w14:paraId="38228D9F" w14:textId="1DE5EF4E" w:rsidR="00824C80" w:rsidRPr="006F20C8" w:rsidRDefault="00824C80" w:rsidP="00824C80">
      <w:pPr>
        <w:pStyle w:val="EndNoteBibliography"/>
        <w:numPr>
          <w:ilvl w:val="0"/>
          <w:numId w:val="16"/>
        </w:numPr>
        <w:spacing w:before="240"/>
        <w:ind w:left="1985" w:hanging="709"/>
      </w:pPr>
      <w:r>
        <w:fldChar w:fldCharType="begin"/>
      </w:r>
      <w:r>
        <w:instrText xml:space="preserve"> ADDIN EN.REFLIST </w:instrText>
      </w:r>
      <w:r>
        <w:fldChar w:fldCharType="separate"/>
      </w:r>
      <w:r w:rsidRPr="006F20C8">
        <w:t xml:space="preserve">Bland JM, Altman DG. </w:t>
      </w:r>
      <w:r w:rsidRPr="006F20C8">
        <w:rPr>
          <w:i/>
        </w:rPr>
        <w:t>Statistical methods for assessing agreement between two methods of clinical measurement</w:t>
      </w:r>
      <w:r w:rsidRPr="006F20C8">
        <w:t xml:space="preserve">. Lancet 1986;1:307-10 doi </w:t>
      </w:r>
    </w:p>
    <w:p w14:paraId="209FCF00" w14:textId="191A4BCB" w:rsidR="00824C80" w:rsidRPr="006F20C8" w:rsidRDefault="00824C80" w:rsidP="00824C80">
      <w:pPr>
        <w:pStyle w:val="EndNoteBibliography"/>
        <w:numPr>
          <w:ilvl w:val="0"/>
          <w:numId w:val="16"/>
        </w:numPr>
        <w:spacing w:before="240"/>
        <w:ind w:left="1985" w:hanging="709"/>
      </w:pPr>
      <w:r w:rsidRPr="006F20C8">
        <w:t xml:space="preserve">Catalona WJ, Partin AW, Slawin KM, Brawer MK, Flanigan RC, Patel A, Richie JP, deKernion JB, Walsh PC, Scardino PT, Lange PH, Subong EN, Parson RE, Gasior GH, Loveland KG, Southwick PC. </w:t>
      </w:r>
      <w:r w:rsidRPr="006F20C8">
        <w:rPr>
          <w:i/>
        </w:rPr>
        <w:t>Use of the percentage of free prostate-specific antigen to enhance differentiation of prostate cancer from benign prostatic disease: a prospective multicenter clinical trial</w:t>
      </w:r>
      <w:r w:rsidRPr="006F20C8">
        <w:t>. JAMA 1998;279:1542-7 doi.10.1001/jama.279.19.1542</w:t>
      </w:r>
    </w:p>
    <w:p w14:paraId="2DD4FC5B" w14:textId="20DA7706" w:rsidR="00824C80" w:rsidRPr="006F20C8" w:rsidRDefault="00824C80" w:rsidP="00824C80">
      <w:pPr>
        <w:pStyle w:val="EndNoteBibliography"/>
        <w:numPr>
          <w:ilvl w:val="0"/>
          <w:numId w:val="16"/>
        </w:numPr>
        <w:spacing w:before="240"/>
        <w:ind w:left="1985" w:hanging="709"/>
      </w:pPr>
      <w:r w:rsidRPr="006F20C8">
        <w:t xml:space="preserve">Constantine S, Salter A, Louise J, Anderson PJ. </w:t>
      </w:r>
      <w:r w:rsidRPr="006F20C8">
        <w:rPr>
          <w:i/>
        </w:rPr>
        <w:t>The Adelaide Facial Bone Rule: A simple prediction model and clinical guideline for the presence of facial fractures using CT brain scans in victims of minor trauma</w:t>
      </w:r>
      <w:r w:rsidRPr="006F20C8">
        <w:t>. Injury 2024;55:111302 doi.10.1016/j.injury.2023.111302</w:t>
      </w:r>
    </w:p>
    <w:p w14:paraId="5EE2023A" w14:textId="7814F792" w:rsidR="00824C80" w:rsidRPr="006F20C8" w:rsidRDefault="00824C80" w:rsidP="00824C80">
      <w:pPr>
        <w:pStyle w:val="EndNoteBibliography"/>
        <w:numPr>
          <w:ilvl w:val="0"/>
          <w:numId w:val="16"/>
        </w:numPr>
        <w:spacing w:before="240"/>
        <w:ind w:left="1985" w:hanging="709"/>
      </w:pPr>
      <w:r w:rsidRPr="006F20C8">
        <w:t xml:space="preserve">Zafari N, Lotfaliany M, O’Keefe GJ, Kishore K, Torkamani N, MacIsaac RJ, Churilov L, Ekinci EI. </w:t>
      </w:r>
      <w:r w:rsidRPr="006F20C8">
        <w:rPr>
          <w:i/>
        </w:rPr>
        <w:t>Performance of 4 Creatinine-based Equations in Assessing Glomerular Filtration Rate in Adults with Diabetes</w:t>
      </w:r>
      <w:r w:rsidRPr="006F20C8">
        <w:t>. The Journal of Clinical Endocrinology &amp; Metabolism 2020;106:e61-e73 doi.10.1210/clinem/dgaa722</w:t>
      </w:r>
    </w:p>
    <w:p w14:paraId="23B4C048" w14:textId="1F7C5CBD" w:rsidR="00B7776B" w:rsidRDefault="00824C80" w:rsidP="00824C80">
      <w:pPr>
        <w:spacing w:before="240"/>
        <w:ind w:left="357" w:hanging="357"/>
      </w:pPr>
      <w:r>
        <w:fldChar w:fldCharType="end"/>
      </w:r>
    </w:p>
    <w:p w14:paraId="684160B2" w14:textId="77777777" w:rsidR="00B7776B" w:rsidRDefault="00B7776B" w:rsidP="00B7776B">
      <w:pPr>
        <w:pStyle w:val="ListParagraph"/>
        <w:numPr>
          <w:ilvl w:val="0"/>
          <w:numId w:val="0"/>
        </w:numPr>
        <w:ind w:left="930"/>
      </w:pPr>
    </w:p>
    <w:p w14:paraId="15491D16" w14:textId="77777777" w:rsidR="00AA0AD3" w:rsidRDefault="00AA0AD3" w:rsidP="00AA0AD3"/>
    <w:p w14:paraId="30ED809A" w14:textId="77777777" w:rsidR="00A353F7" w:rsidRDefault="00A353F7" w:rsidP="00AA0AD3"/>
    <w:p w14:paraId="226B62D9" w14:textId="77777777" w:rsidR="00A353F7" w:rsidRDefault="00A353F7" w:rsidP="00635EE8">
      <w:pPr>
        <w:ind w:left="142"/>
      </w:pPr>
    </w:p>
    <w:p w14:paraId="0CBBDC94" w14:textId="77777777" w:rsidR="00AA0AD3" w:rsidRDefault="00AA0AD3" w:rsidP="00635EE8">
      <w:pPr>
        <w:ind w:left="142"/>
        <w:sectPr w:rsidR="00AA0AD3" w:rsidSect="00374B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47" w:gutter="0"/>
          <w:pgNumType w:start="1"/>
          <w:cols w:space="708"/>
          <w:titlePg/>
          <w:docGrid w:linePitch="360"/>
        </w:sectPr>
      </w:pPr>
    </w:p>
    <w:p w14:paraId="1E09C0A8" w14:textId="77777777" w:rsidR="00A353F7" w:rsidRDefault="00A353F7" w:rsidP="00635EE8">
      <w:pPr>
        <w:ind w:left="142"/>
      </w:pPr>
    </w:p>
    <w:p w14:paraId="7730AAEB" w14:textId="77777777" w:rsidR="00AA0AD3" w:rsidRDefault="00AA0AD3">
      <w:r>
        <w:br w:type="page"/>
      </w:r>
    </w:p>
    <w:p w14:paraId="2119FAED" w14:textId="77777777" w:rsidR="0024609A" w:rsidRDefault="0024609A" w:rsidP="0024609A"/>
    <w:p w14:paraId="7CBC0BD1" w14:textId="77777777" w:rsidR="00A353F7" w:rsidRDefault="00A353F7" w:rsidP="0024609A">
      <w:pPr>
        <w:pStyle w:val="Heading4"/>
      </w:pPr>
      <w: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3"/>
        <w:gridCol w:w="4804"/>
      </w:tblGrid>
      <w:tr w:rsidR="00A353F7" w14:paraId="586EA98E" w14:textId="77777777" w:rsidTr="0063683C">
        <w:tc>
          <w:tcPr>
            <w:tcW w:w="4803" w:type="dxa"/>
          </w:tcPr>
          <w:p w14:paraId="551E5A32" w14:textId="77777777" w:rsidR="00A353F7" w:rsidRPr="0063683C" w:rsidRDefault="00A353F7" w:rsidP="0024609A">
            <w:pPr>
              <w:rPr>
                <w:sz w:val="20"/>
                <w:szCs w:val="20"/>
              </w:rPr>
            </w:pPr>
            <w:r w:rsidRPr="0063683C">
              <w:rPr>
                <w:sz w:val="20"/>
                <w:szCs w:val="20"/>
              </w:rPr>
              <w:t>Division Name</w:t>
            </w:r>
          </w:p>
        </w:tc>
        <w:tc>
          <w:tcPr>
            <w:tcW w:w="4804" w:type="dxa"/>
          </w:tcPr>
          <w:p w14:paraId="08770104" w14:textId="77777777" w:rsidR="00A353F7" w:rsidRPr="0063683C" w:rsidRDefault="00A353F7" w:rsidP="0024609A">
            <w:pPr>
              <w:rPr>
                <w:sz w:val="20"/>
                <w:szCs w:val="20"/>
              </w:rPr>
            </w:pPr>
            <w:r w:rsidRPr="0063683C">
              <w:rPr>
                <w:sz w:val="20"/>
                <w:szCs w:val="20"/>
              </w:rPr>
              <w:t>Address Line 1</w:t>
            </w:r>
          </w:p>
        </w:tc>
      </w:tr>
      <w:tr w:rsidR="00A353F7" w14:paraId="2BC4EC3C" w14:textId="77777777" w:rsidTr="0063683C">
        <w:tc>
          <w:tcPr>
            <w:tcW w:w="4803" w:type="dxa"/>
          </w:tcPr>
          <w:p w14:paraId="286B81C8" w14:textId="77777777" w:rsidR="00A353F7" w:rsidRPr="0063683C" w:rsidRDefault="0063683C" w:rsidP="0024609A">
            <w:pPr>
              <w:rPr>
                <w:sz w:val="20"/>
                <w:szCs w:val="20"/>
              </w:rPr>
            </w:pPr>
            <w:r w:rsidRPr="0063683C">
              <w:rPr>
                <w:sz w:val="20"/>
                <w:szCs w:val="20"/>
              </w:rPr>
              <w:t xml:space="preserve">T: </w:t>
            </w:r>
          </w:p>
        </w:tc>
        <w:tc>
          <w:tcPr>
            <w:tcW w:w="4804" w:type="dxa"/>
          </w:tcPr>
          <w:p w14:paraId="3F5E9D4A" w14:textId="77777777" w:rsidR="00A353F7" w:rsidRPr="0063683C" w:rsidRDefault="00A353F7" w:rsidP="0024609A">
            <w:pPr>
              <w:rPr>
                <w:sz w:val="20"/>
                <w:szCs w:val="20"/>
              </w:rPr>
            </w:pPr>
            <w:r w:rsidRPr="0063683C">
              <w:rPr>
                <w:sz w:val="20"/>
                <w:szCs w:val="20"/>
              </w:rPr>
              <w:t>Address Line 2</w:t>
            </w:r>
          </w:p>
        </w:tc>
      </w:tr>
      <w:tr w:rsidR="00A353F7" w14:paraId="41F13FB7" w14:textId="77777777" w:rsidTr="0063683C">
        <w:tc>
          <w:tcPr>
            <w:tcW w:w="4803" w:type="dxa"/>
          </w:tcPr>
          <w:p w14:paraId="3CA79728" w14:textId="77777777" w:rsidR="00A353F7" w:rsidRPr="0063683C" w:rsidRDefault="0063683C" w:rsidP="0024609A">
            <w:pPr>
              <w:rPr>
                <w:sz w:val="20"/>
                <w:szCs w:val="20"/>
              </w:rPr>
            </w:pPr>
            <w:r w:rsidRPr="0063683C">
              <w:rPr>
                <w:sz w:val="20"/>
                <w:szCs w:val="20"/>
              </w:rPr>
              <w:t xml:space="preserve">E: </w:t>
            </w:r>
          </w:p>
        </w:tc>
        <w:tc>
          <w:tcPr>
            <w:tcW w:w="4804" w:type="dxa"/>
          </w:tcPr>
          <w:p w14:paraId="045EBFD0" w14:textId="77777777" w:rsidR="00A353F7" w:rsidRPr="0063683C" w:rsidRDefault="00A353F7" w:rsidP="0024609A">
            <w:pPr>
              <w:rPr>
                <w:sz w:val="20"/>
                <w:szCs w:val="20"/>
              </w:rPr>
            </w:pPr>
            <w:r w:rsidRPr="0063683C">
              <w:rPr>
                <w:sz w:val="20"/>
                <w:szCs w:val="20"/>
              </w:rPr>
              <w:t>Address Line 3</w:t>
            </w:r>
          </w:p>
        </w:tc>
      </w:tr>
      <w:tr w:rsidR="0063683C" w14:paraId="1B7B9F83" w14:textId="77777777" w:rsidTr="0063683C">
        <w:tc>
          <w:tcPr>
            <w:tcW w:w="4803" w:type="dxa"/>
          </w:tcPr>
          <w:p w14:paraId="5F262F50" w14:textId="77777777" w:rsidR="0063683C" w:rsidRPr="0063683C" w:rsidRDefault="0063683C" w:rsidP="0024609A">
            <w:pPr>
              <w:rPr>
                <w:sz w:val="20"/>
                <w:szCs w:val="20"/>
              </w:rPr>
            </w:pPr>
          </w:p>
        </w:tc>
        <w:tc>
          <w:tcPr>
            <w:tcW w:w="4804" w:type="dxa"/>
          </w:tcPr>
          <w:p w14:paraId="56F1F61D" w14:textId="77777777" w:rsidR="0063683C" w:rsidRPr="0063683C" w:rsidRDefault="0063683C" w:rsidP="0024609A">
            <w:pPr>
              <w:rPr>
                <w:sz w:val="20"/>
                <w:szCs w:val="20"/>
              </w:rPr>
            </w:pPr>
          </w:p>
        </w:tc>
      </w:tr>
      <w:tr w:rsidR="0063683C" w14:paraId="3E389D7B" w14:textId="77777777" w:rsidTr="0063683C">
        <w:tc>
          <w:tcPr>
            <w:tcW w:w="4803" w:type="dxa"/>
          </w:tcPr>
          <w:p w14:paraId="70A32A6C" w14:textId="77777777" w:rsidR="0063683C" w:rsidRDefault="0063683C" w:rsidP="0024609A">
            <w:pPr>
              <w:rPr>
                <w:sz w:val="20"/>
                <w:szCs w:val="20"/>
              </w:rPr>
            </w:pPr>
          </w:p>
          <w:p w14:paraId="3E9F562A" w14:textId="77777777" w:rsidR="0063683C" w:rsidRPr="0063683C" w:rsidRDefault="0063683C" w:rsidP="0024609A">
            <w:pPr>
              <w:rPr>
                <w:sz w:val="20"/>
                <w:szCs w:val="20"/>
              </w:rPr>
            </w:pPr>
            <w:r>
              <w:rPr>
                <w:noProof/>
                <w:lang w:eastAsia="en-AU"/>
              </w:rPr>
              <w:drawing>
                <wp:inline distT="0" distB="0" distL="0" distR="0" wp14:anchorId="0A16234E" wp14:editId="376E3BF4">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04" w:type="dxa"/>
          </w:tcPr>
          <w:p w14:paraId="01B95683" w14:textId="77777777" w:rsidR="0063683C" w:rsidRPr="0063683C" w:rsidRDefault="0063683C" w:rsidP="0024609A">
            <w:pPr>
              <w:rPr>
                <w:sz w:val="20"/>
                <w:szCs w:val="20"/>
              </w:rPr>
            </w:pPr>
          </w:p>
        </w:tc>
      </w:tr>
      <w:tr w:rsidR="0063683C" w14:paraId="63BE2806" w14:textId="77777777" w:rsidTr="0063683C">
        <w:tc>
          <w:tcPr>
            <w:tcW w:w="9607" w:type="dxa"/>
            <w:gridSpan w:val="2"/>
          </w:tcPr>
          <w:p w14:paraId="1CFE52E0" w14:textId="77777777" w:rsidR="0063683C" w:rsidRPr="0063683C" w:rsidRDefault="0063683C" w:rsidP="0024609A">
            <w:pPr>
              <w:rPr>
                <w:sz w:val="12"/>
                <w:szCs w:val="12"/>
              </w:rPr>
            </w:pPr>
            <w:r w:rsidRPr="0063683C">
              <w:rPr>
                <w:sz w:val="12"/>
                <w:szCs w:val="12"/>
              </w:rPr>
              <w:t>© Central Adelaide Local Health Network. All rights reserved</w:t>
            </w:r>
          </w:p>
        </w:tc>
      </w:tr>
    </w:tbl>
    <w:p w14:paraId="1112676B" w14:textId="77777777" w:rsidR="00A353F7" w:rsidRPr="00EC1FEF" w:rsidRDefault="00A353F7" w:rsidP="005876E8"/>
    <w:sectPr w:rsidR="00A353F7" w:rsidRPr="00EC1FEF"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C426" w14:textId="77777777" w:rsidR="00EC115C" w:rsidRDefault="00EC115C" w:rsidP="009059F9">
      <w:pPr>
        <w:spacing w:after="0" w:line="240" w:lineRule="auto"/>
      </w:pPr>
      <w:r>
        <w:separator/>
      </w:r>
    </w:p>
  </w:endnote>
  <w:endnote w:type="continuationSeparator" w:id="0">
    <w:p w14:paraId="158011F6" w14:textId="77777777" w:rsidR="00EC115C" w:rsidRDefault="00EC115C"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343FA352"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940EE"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83730136"/>
      <w:docPartObj>
        <w:docPartGallery w:val="Page Numbers (Bottom of Page)"/>
        <w:docPartUnique/>
      </w:docPartObj>
    </w:sdtPr>
    <w:sdtEndPr>
      <w:rPr>
        <w:rStyle w:val="PageNumber"/>
      </w:rPr>
    </w:sdtEndPr>
    <w:sdtContent>
      <w:p w14:paraId="3B3CB1CA"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8D110E">
          <w:rPr>
            <w:rStyle w:val="PageNumber"/>
            <w:noProof/>
            <w:color w:val="808080" w:themeColor="background1" w:themeShade="80"/>
          </w:rPr>
          <w:t>2</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49"/>
    </w:tblGrid>
    <w:tr w:rsidR="0024609A" w:rsidRPr="0024609A" w14:paraId="7EDD7325" w14:textId="77777777" w:rsidTr="00635EE8">
      <w:tc>
        <w:tcPr>
          <w:tcW w:w="5027" w:type="dxa"/>
        </w:tcPr>
        <w:p w14:paraId="227D5333" w14:textId="77777777" w:rsidR="00635EE8" w:rsidRPr="0024609A" w:rsidRDefault="0024609A" w:rsidP="00635EE8">
          <w:pPr>
            <w:pStyle w:val="Footer"/>
            <w:ind w:right="360"/>
            <w:rPr>
              <w:color w:val="808080" w:themeColor="background1" w:themeShade="80"/>
            </w:rPr>
          </w:pPr>
          <w:r w:rsidRPr="0024609A">
            <w:rPr>
              <w:color w:val="808080" w:themeColor="background1" w:themeShade="80"/>
              <w:sz w:val="20"/>
              <w:szCs w:val="20"/>
            </w:rPr>
            <w:t>Insert confidentiality</w:t>
          </w:r>
        </w:p>
      </w:tc>
      <w:tc>
        <w:tcPr>
          <w:tcW w:w="5027" w:type="dxa"/>
        </w:tcPr>
        <w:p w14:paraId="3CED8393"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10973CFE" w14:textId="77777777" w:rsidR="00635EE8" w:rsidRDefault="0063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8198" w14:textId="0030C713" w:rsidR="006715D7" w:rsidRDefault="006715D7">
    <w:pPr>
      <w:pStyle w:val="Footer"/>
    </w:pPr>
    <w:r>
      <w:rPr>
        <w:rFonts w:eastAsiaTheme="majorEastAsia" w:cstheme="majorBidi"/>
        <w:b/>
        <w:noProof/>
        <w:color w:val="FF9E00"/>
        <w:sz w:val="32"/>
        <w:szCs w:val="32"/>
        <w:lang w:eastAsia="en-AU"/>
      </w:rPr>
      <w:drawing>
        <wp:anchor distT="0" distB="0" distL="114300" distR="114300" simplePos="0" relativeHeight="251666432" behindDoc="1" locked="0" layoutInCell="1" allowOverlap="1" wp14:anchorId="67AC14B2" wp14:editId="10575ABF">
          <wp:simplePos x="0" y="0"/>
          <wp:positionH relativeFrom="column">
            <wp:posOffset>-1496695</wp:posOffset>
          </wp:positionH>
          <wp:positionV relativeFrom="paragraph">
            <wp:posOffset>-948055</wp:posOffset>
          </wp:positionV>
          <wp:extent cx="1012874" cy="1012874"/>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1AB9" w14:textId="77777777" w:rsidR="00EC115C" w:rsidRDefault="00EC115C" w:rsidP="009059F9">
      <w:pPr>
        <w:spacing w:after="0" w:line="240" w:lineRule="auto"/>
      </w:pPr>
      <w:r>
        <w:separator/>
      </w:r>
    </w:p>
  </w:footnote>
  <w:footnote w:type="continuationSeparator" w:id="0">
    <w:p w14:paraId="0AE9784A" w14:textId="77777777" w:rsidR="00EC115C" w:rsidRDefault="00EC115C"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D2A" w14:textId="18A1FFBC" w:rsidR="000144E1" w:rsidRDefault="000144E1">
    <w:pPr>
      <w:pStyle w:val="Header"/>
    </w:pPr>
    <w:r>
      <w:rPr>
        <w:noProof/>
      </w:rPr>
      <mc:AlternateContent>
        <mc:Choice Requires="wps">
          <w:drawing>
            <wp:anchor distT="0" distB="0" distL="0" distR="0" simplePos="0" relativeHeight="251662336" behindDoc="0" locked="0" layoutInCell="1" allowOverlap="1" wp14:anchorId="19DC7ECE" wp14:editId="107E8FE2">
              <wp:simplePos x="635" y="635"/>
              <wp:positionH relativeFrom="page">
                <wp:align>center</wp:align>
              </wp:positionH>
              <wp:positionV relativeFrom="page">
                <wp:align>top</wp:align>
              </wp:positionV>
              <wp:extent cx="443865" cy="443865"/>
              <wp:effectExtent l="0" t="0" r="1206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C7E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720" w14:textId="78EC6EC7" w:rsidR="000144E1" w:rsidRDefault="000144E1">
    <w:pPr>
      <w:pStyle w:val="Header"/>
    </w:pPr>
    <w:r>
      <w:rPr>
        <w:noProof/>
      </w:rPr>
      <mc:AlternateContent>
        <mc:Choice Requires="wps">
          <w:drawing>
            <wp:anchor distT="0" distB="0" distL="0" distR="0" simplePos="0" relativeHeight="251663360" behindDoc="0" locked="0" layoutInCell="1" allowOverlap="1" wp14:anchorId="2162CD25" wp14:editId="4FCC464D">
              <wp:simplePos x="0" y="0"/>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2CD2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76C3" w14:textId="0DB4BCE3" w:rsidR="00635EE8" w:rsidRPr="00CD0684" w:rsidRDefault="006715D7" w:rsidP="00AA0AD3">
    <w:pPr>
      <w:rPr>
        <w:color w:val="43BEAC"/>
      </w:rPr>
    </w:pPr>
    <w:r>
      <w:rPr>
        <w:noProof/>
        <w:lang w:eastAsia="en-AU"/>
      </w:rPr>
      <w:drawing>
        <wp:anchor distT="0" distB="0" distL="252095" distR="252095" simplePos="0" relativeHeight="251664384" behindDoc="1" locked="0" layoutInCell="1" allowOverlap="1" wp14:anchorId="417C9FB3" wp14:editId="427002A0">
          <wp:simplePos x="0" y="0"/>
          <wp:positionH relativeFrom="column">
            <wp:posOffset>-908050</wp:posOffset>
          </wp:positionH>
          <wp:positionV relativeFrom="paragraph">
            <wp:posOffset>-440055</wp:posOffset>
          </wp:positionV>
          <wp:extent cx="1440000" cy="10702372"/>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40000" cy="10702372"/>
                  </a:xfrm>
                  <a:prstGeom prst="rect">
                    <a:avLst/>
                  </a:prstGeom>
                </pic:spPr>
              </pic:pic>
            </a:graphicData>
          </a:graphic>
          <wp14:sizeRelH relativeFrom="page">
            <wp14:pctWidth>0</wp14:pctWidth>
          </wp14:sizeRelH>
          <wp14:sizeRelV relativeFrom="page">
            <wp14:pctHeight>0</wp14:pctHeight>
          </wp14:sizeRelV>
        </wp:anchor>
      </w:drawing>
    </w:r>
    <w:r w:rsidR="000144E1">
      <w:rPr>
        <w:noProof/>
        <w:lang w:eastAsia="en-AU"/>
      </w:rPr>
      <mc:AlternateContent>
        <mc:Choice Requires="wps">
          <w:drawing>
            <wp:anchor distT="0" distB="0" distL="0" distR="0" simplePos="0" relativeHeight="251661312" behindDoc="0" locked="0" layoutInCell="1" allowOverlap="1" wp14:anchorId="32081F24" wp14:editId="5DD237AA">
              <wp:simplePos x="0" y="0"/>
              <wp:positionH relativeFrom="page">
                <wp:align>center</wp:align>
              </wp:positionH>
              <wp:positionV relativeFrom="page">
                <wp:align>top</wp:align>
              </wp:positionV>
              <wp:extent cx="443865" cy="443865"/>
              <wp:effectExtent l="0" t="0" r="1206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81F2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r w:rsidR="00824C80" w:rsidRPr="00824C80">
      <w:rPr>
        <w:rStyle w:val="Heading1Char"/>
        <w:color w:val="43BEAC"/>
      </w:rPr>
      <w:t xml:space="preserve">Adelaide </w:t>
    </w:r>
    <w:proofErr w:type="spellStart"/>
    <w:r w:rsidR="00824C80" w:rsidRPr="00824C80">
      <w:rPr>
        <w:rStyle w:val="Heading1Char"/>
        <w:color w:val="43BEAC"/>
      </w:rPr>
      <w:t>EpiCentre</w:t>
    </w:r>
    <w:proofErr w:type="spellEnd"/>
    <w:r w:rsidR="00824C80" w:rsidRPr="00824C80">
      <w:rPr>
        <w:rStyle w:val="Heading1Char"/>
        <w:color w:val="43BEAC"/>
      </w:rPr>
      <w:t>: Research Skills Workshop Series</w:t>
    </w:r>
  </w:p>
  <w:p w14:paraId="5F180A01" w14:textId="439A9366" w:rsidR="00635EE8" w:rsidRPr="00635EE8" w:rsidRDefault="00635EE8" w:rsidP="006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6" w15:restartNumberingAfterBreak="0">
    <w:nsid w:val="26D044EC"/>
    <w:multiLevelType w:val="hybridMultilevel"/>
    <w:tmpl w:val="B8A06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0"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6861208">
    <w:abstractNumId w:val="2"/>
  </w:num>
  <w:num w:numId="2" w16cid:durableId="1342049142">
    <w:abstractNumId w:val="7"/>
  </w:num>
  <w:num w:numId="3" w16cid:durableId="1660763364">
    <w:abstractNumId w:val="1"/>
  </w:num>
  <w:num w:numId="4" w16cid:durableId="526875197">
    <w:abstractNumId w:val="4"/>
  </w:num>
  <w:num w:numId="5" w16cid:durableId="846285999">
    <w:abstractNumId w:val="10"/>
  </w:num>
  <w:num w:numId="6" w16cid:durableId="1736010261">
    <w:abstractNumId w:val="7"/>
    <w:lvlOverride w:ilvl="0">
      <w:startOverride w:val="1"/>
    </w:lvlOverride>
  </w:num>
  <w:num w:numId="7" w16cid:durableId="1572890546">
    <w:abstractNumId w:val="8"/>
  </w:num>
  <w:num w:numId="8" w16cid:durableId="679045759">
    <w:abstractNumId w:val="3"/>
  </w:num>
  <w:num w:numId="9" w16cid:durableId="33626835">
    <w:abstractNumId w:val="0"/>
  </w:num>
  <w:num w:numId="10" w16cid:durableId="1889872542">
    <w:abstractNumId w:val="9"/>
  </w:num>
  <w:num w:numId="11" w16cid:durableId="2011716849">
    <w:abstractNumId w:val="9"/>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1583566916">
    <w:abstractNumId w:val="11"/>
  </w:num>
  <w:num w:numId="13" w16cid:durableId="1205289869">
    <w:abstractNumId w:val="5"/>
  </w:num>
  <w:num w:numId="14" w16cid:durableId="1748915817">
    <w:abstractNumId w:val="9"/>
  </w:num>
  <w:num w:numId="15" w16cid:durableId="715348265">
    <w:abstractNumId w:val="5"/>
  </w:num>
  <w:num w:numId="16" w16cid:durableId="742801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1"/>
    <w:rsid w:val="000144E1"/>
    <w:rsid w:val="00080357"/>
    <w:rsid w:val="00096C0D"/>
    <w:rsid w:val="00127357"/>
    <w:rsid w:val="001E400E"/>
    <w:rsid w:val="0024609A"/>
    <w:rsid w:val="00352765"/>
    <w:rsid w:val="00374B1A"/>
    <w:rsid w:val="003966B6"/>
    <w:rsid w:val="00474AC7"/>
    <w:rsid w:val="005876E8"/>
    <w:rsid w:val="00635EE8"/>
    <w:rsid w:val="0063683C"/>
    <w:rsid w:val="006508F5"/>
    <w:rsid w:val="00667817"/>
    <w:rsid w:val="006715D7"/>
    <w:rsid w:val="00772E6A"/>
    <w:rsid w:val="007C3D0F"/>
    <w:rsid w:val="00824C80"/>
    <w:rsid w:val="008D110E"/>
    <w:rsid w:val="008D128B"/>
    <w:rsid w:val="009059F9"/>
    <w:rsid w:val="0095735F"/>
    <w:rsid w:val="00A353F7"/>
    <w:rsid w:val="00A87DDF"/>
    <w:rsid w:val="00AA0AD3"/>
    <w:rsid w:val="00B7776B"/>
    <w:rsid w:val="00BA04C0"/>
    <w:rsid w:val="00C41746"/>
    <w:rsid w:val="00CD0684"/>
    <w:rsid w:val="00D57CA2"/>
    <w:rsid w:val="00D8788E"/>
    <w:rsid w:val="00E53985"/>
    <w:rsid w:val="00EC115C"/>
    <w:rsid w:val="00EC1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E059"/>
  <w15:docId w15:val="{1C0FAEE4-9F84-5243-A57D-8F7C23C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D7"/>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paragraph" w:customStyle="1" w:styleId="EndNoteBibliography">
    <w:name w:val="EndNote Bibliography"/>
    <w:basedOn w:val="Normal"/>
    <w:link w:val="EndNoteBibliographyChar"/>
    <w:rsid w:val="00824C80"/>
    <w:pPr>
      <w:spacing w:line="240" w:lineRule="auto"/>
    </w:pPr>
    <w:rPr>
      <w:rFonts w:ascii="Aptos" w:hAnsi="Aptos"/>
      <w:noProof/>
      <w:color w:val="auto"/>
      <w:kern w:val="2"/>
      <w:sz w:val="22"/>
      <w:lang w:val="en-US"/>
      <w14:ligatures w14:val="standardContextual"/>
    </w:rPr>
  </w:style>
  <w:style w:type="character" w:customStyle="1" w:styleId="EndNoteBibliographyChar">
    <w:name w:val="EndNote Bibliography Char"/>
    <w:basedOn w:val="DefaultParagraphFont"/>
    <w:link w:val="EndNoteBibliography"/>
    <w:rsid w:val="00824C80"/>
    <w:rPr>
      <w:rFonts w:ascii="Aptos" w:hAnsi="Aptos"/>
      <w:noProo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ECA-B5BA-4399-A767-BBC57FFB24D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Nick (Health)</dc:creator>
  <cp:lastModifiedBy>Slattery, Flynn (Health)</cp:lastModifiedBy>
  <cp:revision>2</cp:revision>
  <dcterms:created xsi:type="dcterms:W3CDTF">2025-03-04T23:40:00Z</dcterms:created>
  <dcterms:modified xsi:type="dcterms:W3CDTF">2025-03-04T23:40:00Z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2023-02-06T05:48:25Z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533d33b9-b407-47fd-9277-d79ad73bc70c</vt:lpwstr>
  </property>
  <property fmtid="{D5CDD505-2E9C-101B-9397-08002B2CF9AE}" pid="11" name="MSIP_Label_77274858-3b1d-4431-8679-d878f40e28fd_ContentBits">
    <vt:lpwstr>1</vt:lpwstr>
  </property>
</Properties>
</file>